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06" w:rsidRPr="008E769D" w:rsidRDefault="003E6858" w:rsidP="004B4706">
      <w:pPr>
        <w:jc w:val="center"/>
        <w:rPr>
          <w:rFonts w:ascii="Century Gothic" w:hAnsi="Century Gothic"/>
          <w:b/>
          <w:sz w:val="32"/>
          <w:szCs w:val="32"/>
        </w:rPr>
      </w:pPr>
      <w:r w:rsidRPr="008E769D">
        <w:rPr>
          <w:rFonts w:ascii="Century Gothic" w:hAnsi="Century Gothic"/>
          <w:b/>
          <w:sz w:val="32"/>
          <w:szCs w:val="32"/>
        </w:rPr>
        <w:t>Partager sa classe</w:t>
      </w:r>
      <w:r w:rsidR="004B4706" w:rsidRPr="008E769D">
        <w:rPr>
          <w:rFonts w:ascii="Century Gothic" w:hAnsi="Century Gothic"/>
          <w:b/>
          <w:sz w:val="32"/>
          <w:szCs w:val="32"/>
        </w:rPr>
        <w:t xml:space="preserve"> …et ses élèves</w:t>
      </w:r>
    </w:p>
    <w:p w:rsidR="008E769D" w:rsidRDefault="008E769D" w:rsidP="00276512">
      <w:pPr>
        <w:jc w:val="both"/>
        <w:rPr>
          <w:rFonts w:ascii="Century Gothic" w:hAnsi="Century Gothic"/>
          <w:sz w:val="24"/>
          <w:szCs w:val="24"/>
        </w:rPr>
      </w:pPr>
    </w:p>
    <w:p w:rsidR="008947C8" w:rsidRPr="00B22D4E" w:rsidRDefault="00B22D4E" w:rsidP="00276512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Ce document est destiné à aider les enseignants qui se partagent une classe.</w:t>
      </w:r>
    </w:p>
    <w:p w:rsidR="003E6858" w:rsidRDefault="00B22D4E" w:rsidP="002765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liste q</w:t>
      </w:r>
      <w:r w:rsidR="003E6858" w:rsidRPr="004B4706">
        <w:rPr>
          <w:rFonts w:ascii="Century Gothic" w:hAnsi="Century Gothic"/>
        </w:rPr>
        <w:t>uelques écueils à éviter s’ils sont anticipés ensemble, quelques points de vigilance à traiter en binôme.</w:t>
      </w:r>
      <w:r>
        <w:rPr>
          <w:rFonts w:ascii="Century Gothic" w:hAnsi="Century Gothic"/>
        </w:rPr>
        <w:t xml:space="preserve"> </w:t>
      </w:r>
      <w:r w:rsidR="003E6858" w:rsidRPr="004B4706">
        <w:rPr>
          <w:rFonts w:ascii="Century Gothic" w:hAnsi="Century Gothic"/>
        </w:rPr>
        <w:t>La liste n’est pa</w:t>
      </w:r>
      <w:r w:rsidR="00D43BDF" w:rsidRPr="004B4706">
        <w:rPr>
          <w:rFonts w:ascii="Century Gothic" w:hAnsi="Century Gothic"/>
        </w:rPr>
        <w:t>s exhaustive. Elle vise à établir quelques points de communication essentiels.</w:t>
      </w:r>
    </w:p>
    <w:p w:rsidR="00B22D4E" w:rsidRDefault="00B22D4E" w:rsidP="002765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Vous trouverez également des documents qui permettent d’établir la répartition des enseignements. Ils sont établis par cycle, et modifiables.</w:t>
      </w:r>
    </w:p>
    <w:p w:rsidR="00D43BDF" w:rsidRPr="004B4706" w:rsidRDefault="00D43BDF" w:rsidP="00276512">
      <w:pPr>
        <w:jc w:val="both"/>
        <w:rPr>
          <w:rFonts w:ascii="Century Gothic" w:hAnsi="Century Gothic"/>
          <w:b/>
        </w:rPr>
      </w:pPr>
    </w:p>
    <w:p w:rsidR="00D43BDF" w:rsidRPr="004B4706" w:rsidRDefault="00D43BDF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Répartir les compétences et leurs évaluations, à partir des intitulés et des indications horaires donnés dans les programmes</w:t>
      </w:r>
      <w:r w:rsidR="00115989" w:rsidRPr="004B4706">
        <w:rPr>
          <w:rFonts w:ascii="Century Gothic" w:hAnsi="Century Gothic"/>
        </w:rPr>
        <w:t xml:space="preserve"> (ne pas omettre les compétences orales)</w:t>
      </w:r>
      <w:r w:rsidR="00D74C4D">
        <w:rPr>
          <w:rFonts w:ascii="Century Gothic" w:hAnsi="Century Gothic"/>
        </w:rPr>
        <w:t xml:space="preserve"> </w:t>
      </w:r>
      <w:proofErr w:type="spellStart"/>
      <w:r w:rsidR="00D74C4D">
        <w:rPr>
          <w:rFonts w:ascii="Century Gothic" w:hAnsi="Century Gothic"/>
        </w:rPr>
        <w:t>cf</w:t>
      </w:r>
      <w:proofErr w:type="spellEnd"/>
      <w:r w:rsidR="00D74C4D">
        <w:rPr>
          <w:rFonts w:ascii="Century Gothic" w:hAnsi="Century Gothic"/>
        </w:rPr>
        <w:t xml:space="preserve"> documents joints</w:t>
      </w:r>
    </w:p>
    <w:p w:rsidR="00D43BDF" w:rsidRPr="004B4706" w:rsidRDefault="00D43BDF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Tenir compte des horaires spécif</w:t>
      </w:r>
      <w:r w:rsidR="004B4706" w:rsidRPr="004B4706">
        <w:rPr>
          <w:rFonts w:ascii="Century Gothic" w:hAnsi="Century Gothic"/>
        </w:rPr>
        <w:t xml:space="preserve">iques (plages EPS, intervenants, </w:t>
      </w:r>
      <w:r w:rsidRPr="004B4706">
        <w:rPr>
          <w:rFonts w:ascii="Century Gothic" w:hAnsi="Century Gothic"/>
        </w:rPr>
        <w:t>…)</w:t>
      </w:r>
    </w:p>
    <w:p w:rsidR="00D43BDF" w:rsidRPr="004B4706" w:rsidRDefault="00D43BDF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Tenir compte des enseignemen</w:t>
      </w:r>
      <w:r w:rsidR="00276512">
        <w:rPr>
          <w:rFonts w:ascii="Century Gothic" w:hAnsi="Century Gothic"/>
        </w:rPr>
        <w:t>ts nécessairement quotidiens</w:t>
      </w:r>
      <w:r w:rsidRPr="004B4706">
        <w:rPr>
          <w:rFonts w:ascii="Century Gothic" w:hAnsi="Century Gothic"/>
        </w:rPr>
        <w:t xml:space="preserve"> (</w:t>
      </w:r>
      <w:r w:rsidR="00115989" w:rsidRPr="004B4706">
        <w:rPr>
          <w:rFonts w:ascii="Century Gothic" w:hAnsi="Century Gothic"/>
        </w:rPr>
        <w:t>comme par exemple le</w:t>
      </w:r>
      <w:r w:rsidRPr="004B4706">
        <w:rPr>
          <w:rFonts w:ascii="Century Gothic" w:hAnsi="Century Gothic"/>
        </w:rPr>
        <w:t xml:space="preserve"> langa</w:t>
      </w:r>
      <w:r w:rsidR="00115989" w:rsidRPr="004B4706">
        <w:rPr>
          <w:rFonts w:ascii="Century Gothic" w:hAnsi="Century Gothic"/>
        </w:rPr>
        <w:t>ge</w:t>
      </w:r>
      <w:r w:rsidRPr="004B4706">
        <w:rPr>
          <w:rFonts w:ascii="Century Gothic" w:hAnsi="Century Gothic"/>
        </w:rPr>
        <w:t xml:space="preserve"> en maternelle </w:t>
      </w:r>
      <w:r w:rsidR="00115989" w:rsidRPr="004B4706">
        <w:rPr>
          <w:rFonts w:ascii="Century Gothic" w:hAnsi="Century Gothic"/>
        </w:rPr>
        <w:t>ou la production d’écrits en élémentaire)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Partager les livres du maître, les fichiers, les manuels pour une plus grande cohérence des pratiques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Mettre en place des outils communs pour partager les référents du savoir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Se concerter sur les affichages de la classe et leur évolution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Définir le contenu et les formes du suivi des élèves, notamment des élèves en difficulté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S’accorder sur des règles essentielles de fonctionnement, qui doivent être lisibles par tous, élèves et enseignants (et ne pas reposer sur la seule personnalité de l’enseignant)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Echanger sur sa posture d’enseignant</w:t>
      </w:r>
      <w:r w:rsidR="004B4706" w:rsidRPr="004B4706">
        <w:rPr>
          <w:rFonts w:ascii="Century Gothic" w:hAnsi="Century Gothic"/>
        </w:rPr>
        <w:t xml:space="preserve"> (</w:t>
      </w:r>
      <w:r w:rsidR="00B768E9" w:rsidRPr="004B4706">
        <w:rPr>
          <w:rFonts w:ascii="Century Gothic" w:hAnsi="Century Gothic"/>
        </w:rPr>
        <w:t>niveaux d’exigence, communication avec les parents, avec les élèves,</w:t>
      </w:r>
      <w:r w:rsidR="004B4706" w:rsidRPr="004B4706">
        <w:rPr>
          <w:rFonts w:ascii="Century Gothic" w:hAnsi="Century Gothic"/>
        </w:rPr>
        <w:t xml:space="preserve"> .</w:t>
      </w:r>
      <w:r w:rsidR="00B768E9" w:rsidRPr="004B4706">
        <w:rPr>
          <w:rFonts w:ascii="Century Gothic" w:hAnsi="Century Gothic"/>
        </w:rPr>
        <w:t>..)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S’accorder sur la gestion du matériel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Planifier les évènements de l’année, de la période</w:t>
      </w:r>
    </w:p>
    <w:p w:rsidR="00115989" w:rsidRPr="004B4706" w:rsidRDefault="0011598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 xml:space="preserve">Définir une forme </w:t>
      </w:r>
      <w:r w:rsidR="004B4706" w:rsidRPr="004B4706">
        <w:rPr>
          <w:rFonts w:ascii="Century Gothic" w:hAnsi="Century Gothic"/>
        </w:rPr>
        <w:t>(</w:t>
      </w:r>
      <w:r w:rsidR="00B768E9" w:rsidRPr="004B4706">
        <w:rPr>
          <w:rFonts w:ascii="Century Gothic" w:hAnsi="Century Gothic"/>
        </w:rPr>
        <w:t xml:space="preserve">en incluant une forme de communication rapide qui permet de prévoir ou de réajuster la journée suivante) </w:t>
      </w:r>
      <w:r w:rsidRPr="004B4706">
        <w:rPr>
          <w:rFonts w:ascii="Century Gothic" w:hAnsi="Century Gothic"/>
        </w:rPr>
        <w:t>et des contenus</w:t>
      </w:r>
      <w:r w:rsidR="00B768E9" w:rsidRPr="004B4706">
        <w:rPr>
          <w:rFonts w:ascii="Century Gothic" w:hAnsi="Century Gothic"/>
        </w:rPr>
        <w:t xml:space="preserve"> (échanges entre les parents, incidents de classe, coop, …)</w:t>
      </w:r>
      <w:r w:rsidRPr="004B4706">
        <w:rPr>
          <w:rFonts w:ascii="Century Gothic" w:hAnsi="Century Gothic"/>
        </w:rPr>
        <w:t xml:space="preserve"> de communication entre les deux enseignants</w:t>
      </w:r>
      <w:r w:rsidR="00B768E9" w:rsidRPr="004B4706">
        <w:rPr>
          <w:rFonts w:ascii="Century Gothic" w:hAnsi="Century Gothic"/>
        </w:rPr>
        <w:t xml:space="preserve"> </w:t>
      </w:r>
    </w:p>
    <w:p w:rsidR="00B768E9" w:rsidRPr="004B4706" w:rsidRDefault="00B768E9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B4706">
        <w:rPr>
          <w:rFonts w:ascii="Century Gothic" w:hAnsi="Century Gothic"/>
        </w:rPr>
        <w:t>Définir le rôle des intervenants</w:t>
      </w:r>
    </w:p>
    <w:p w:rsidR="00B22D4E" w:rsidRPr="00276512" w:rsidRDefault="00276512" w:rsidP="0027651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276512">
        <w:rPr>
          <w:rFonts w:ascii="Century Gothic" w:hAnsi="Century Gothic"/>
        </w:rPr>
        <w:t>Si possible se concerter pour une bonne répartition des crédits de class</w:t>
      </w:r>
      <w:r>
        <w:rPr>
          <w:rFonts w:ascii="Century Gothic" w:hAnsi="Century Gothic"/>
        </w:rPr>
        <w:t>e</w:t>
      </w:r>
      <w:r w:rsidRPr="00276512">
        <w:rPr>
          <w:rFonts w:ascii="Century Gothic" w:hAnsi="Century Gothic"/>
        </w:rPr>
        <w:t>. Le cas échéant, réserver une somme suffisante pour l’achat de matériel dédié aux activités conduites par l’enseignant nommé à la rentrée.</w:t>
      </w:r>
      <w:r w:rsidR="004B4706" w:rsidRPr="00276512">
        <w:rPr>
          <w:rFonts w:ascii="Century Gothic" w:hAnsi="Century Gothic"/>
        </w:rPr>
        <w:t xml:space="preserve"> </w:t>
      </w:r>
      <w:r w:rsidR="00B22D4E" w:rsidRPr="00276512">
        <w:rPr>
          <w:rFonts w:ascii="Century Gothic" w:hAnsi="Century Gothic"/>
        </w:rPr>
        <w:t xml:space="preserve">    </w:t>
      </w:r>
    </w:p>
    <w:p w:rsidR="00B768E9" w:rsidRDefault="00B768E9" w:rsidP="00276512">
      <w:pPr>
        <w:jc w:val="both"/>
      </w:pPr>
    </w:p>
    <w:p w:rsidR="00B768E9" w:rsidRDefault="00B768E9"/>
    <w:p w:rsidR="00276512" w:rsidRDefault="00276512">
      <w:r>
        <w:br w:type="page"/>
      </w:r>
    </w:p>
    <w:p w:rsidR="00B768E9" w:rsidRDefault="00B768E9"/>
    <w:p w:rsidR="00B22D4E" w:rsidRDefault="00B22D4E"/>
    <w:p w:rsidR="00115989" w:rsidRPr="004B4706" w:rsidRDefault="00474507">
      <w:pPr>
        <w:rPr>
          <w:b/>
        </w:rPr>
      </w:pPr>
      <w:r w:rsidRPr="004B4706">
        <w:rPr>
          <w:b/>
        </w:rPr>
        <w:t>Maternelle</w:t>
      </w:r>
    </w:p>
    <w:p w:rsidR="00474507" w:rsidRDefault="00474507">
      <w:r>
        <w:t xml:space="preserve">Classe de   </w:t>
      </w:r>
      <w:r w:rsidR="0000292A">
        <w:t>…………………………………… </w:t>
      </w:r>
      <w:r>
        <w:t xml:space="preserve">      </w:t>
      </w:r>
      <w:proofErr w:type="gramStart"/>
      <w:r>
        <w:t>et</w:t>
      </w:r>
      <w:proofErr w:type="gramEnd"/>
      <w:r>
        <w:t xml:space="preserve"> de </w:t>
      </w:r>
      <w:r w:rsidR="0000292A">
        <w:t>…………………………………..</w:t>
      </w:r>
    </w:p>
    <w:p w:rsidR="00474507" w:rsidRDefault="00474507">
      <w:r>
        <w:t xml:space="preserve">Niveau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9"/>
        <w:gridCol w:w="784"/>
        <w:gridCol w:w="2632"/>
        <w:gridCol w:w="1432"/>
        <w:gridCol w:w="1543"/>
        <w:gridCol w:w="1202"/>
      </w:tblGrid>
      <w:tr w:rsidR="0000292A" w:rsidTr="0000292A">
        <w:tc>
          <w:tcPr>
            <w:tcW w:w="1469" w:type="dxa"/>
          </w:tcPr>
          <w:p w:rsidR="0000292A" w:rsidRPr="0000292A" w:rsidRDefault="0000292A">
            <w:pPr>
              <w:rPr>
                <w:sz w:val="18"/>
                <w:szCs w:val="18"/>
              </w:rPr>
            </w:pPr>
            <w:r w:rsidRPr="0000292A">
              <w:rPr>
                <w:sz w:val="18"/>
                <w:szCs w:val="18"/>
              </w:rPr>
              <w:t>Domaines d’enseignements</w:t>
            </w:r>
          </w:p>
        </w:tc>
        <w:tc>
          <w:tcPr>
            <w:tcW w:w="784" w:type="dxa"/>
          </w:tcPr>
          <w:p w:rsidR="0000292A" w:rsidRDefault="0000292A"/>
        </w:tc>
        <w:tc>
          <w:tcPr>
            <w:tcW w:w="2632" w:type="dxa"/>
          </w:tcPr>
          <w:p w:rsidR="0000292A" w:rsidRDefault="0000292A"/>
        </w:tc>
        <w:tc>
          <w:tcPr>
            <w:tcW w:w="1432" w:type="dxa"/>
          </w:tcPr>
          <w:p w:rsidR="0000292A" w:rsidRDefault="0000292A">
            <w:r>
              <w:t>Mme ou Mr ……………………</w:t>
            </w:r>
          </w:p>
        </w:tc>
        <w:tc>
          <w:tcPr>
            <w:tcW w:w="1543" w:type="dxa"/>
          </w:tcPr>
          <w:p w:rsidR="0000292A" w:rsidRDefault="0000292A">
            <w:r>
              <w:t>Mme ou Mr ……………………..</w:t>
            </w:r>
          </w:p>
        </w:tc>
        <w:tc>
          <w:tcPr>
            <w:tcW w:w="1202" w:type="dxa"/>
          </w:tcPr>
          <w:p w:rsidR="0000292A" w:rsidRDefault="0000292A"/>
        </w:tc>
      </w:tr>
      <w:tr w:rsidR="0000292A" w:rsidTr="0000292A">
        <w:tc>
          <w:tcPr>
            <w:tcW w:w="7860" w:type="dxa"/>
            <w:gridSpan w:val="5"/>
          </w:tcPr>
          <w:p w:rsidR="0000292A" w:rsidRDefault="0000292A">
            <w:r>
              <w:t xml:space="preserve">                                                                                                 Quotité horaire par enseignant</w:t>
            </w:r>
          </w:p>
        </w:tc>
        <w:tc>
          <w:tcPr>
            <w:tcW w:w="1202" w:type="dxa"/>
          </w:tcPr>
          <w:p w:rsidR="0000292A" w:rsidRDefault="0000292A">
            <w:proofErr w:type="spellStart"/>
            <w:r>
              <w:t>Nbre</w:t>
            </w:r>
            <w:proofErr w:type="spellEnd"/>
            <w:r>
              <w:t xml:space="preserve"> </w:t>
            </w:r>
            <w:proofErr w:type="spellStart"/>
            <w:r>
              <w:t>d’h</w:t>
            </w:r>
            <w:proofErr w:type="spellEnd"/>
            <w:r>
              <w:t xml:space="preserve"> global</w:t>
            </w:r>
          </w:p>
        </w:tc>
      </w:tr>
      <w:tr w:rsidR="0000292A" w:rsidRPr="002A424C" w:rsidTr="0000292A">
        <w:trPr>
          <w:trHeight w:val="270"/>
        </w:trPr>
        <w:tc>
          <w:tcPr>
            <w:tcW w:w="1469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Mobiliser le langage dans toutes ses dimensions</w:t>
            </w:r>
          </w:p>
        </w:tc>
        <w:tc>
          <w:tcPr>
            <w:tcW w:w="784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L’oral</w:t>
            </w: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Conscience phonologique</w:t>
            </w:r>
          </w:p>
        </w:tc>
        <w:tc>
          <w:tcPr>
            <w:tcW w:w="1432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405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Communiquer avec les autres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405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Pratiquer divers usages du langage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405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S’exprimer dans un langage syntaxiquement correct et précis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405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Eveil à la diversité des langues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405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Dire de mémoire et avec expression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2A424C">
        <w:trPr>
          <w:trHeight w:val="647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L’écrit</w:t>
            </w: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Ecouter de l’écrit et comprendre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202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Découvrir les fonctions de l’écrit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202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Commencer à produire de l’écrit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405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Découvrir le principe alphabétique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405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Commencer à écrire tout seul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216"/>
        </w:trPr>
        <w:tc>
          <w:tcPr>
            <w:tcW w:w="1469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Agir s’exprimer comprendre à travers l’activité physique</w:t>
            </w:r>
          </w:p>
        </w:tc>
        <w:tc>
          <w:tcPr>
            <w:tcW w:w="3416" w:type="dxa"/>
            <w:gridSpan w:val="2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Agir dans l’espace, dans la durée et sur les objets</w:t>
            </w:r>
          </w:p>
        </w:tc>
        <w:tc>
          <w:tcPr>
            <w:tcW w:w="1432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216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Adapter ses équilibres et ses déplacements à des environnements et des contraintes variées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216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Communiquer avec les autres au travers d’actions à visée artistique ou expressive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00292A" w:rsidRPr="002A424C" w:rsidTr="0000292A">
        <w:trPr>
          <w:trHeight w:val="816"/>
        </w:trPr>
        <w:tc>
          <w:tcPr>
            <w:tcW w:w="1469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00292A" w:rsidRPr="002A424C" w:rsidRDefault="0000292A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Collaborer, coopérer, s’opposer</w:t>
            </w:r>
          </w:p>
        </w:tc>
        <w:tc>
          <w:tcPr>
            <w:tcW w:w="143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00292A" w:rsidRPr="002A424C" w:rsidRDefault="0000292A">
            <w:pPr>
              <w:rPr>
                <w:sz w:val="18"/>
                <w:szCs w:val="18"/>
              </w:rPr>
            </w:pPr>
          </w:p>
        </w:tc>
      </w:tr>
      <w:tr w:rsidR="00424003" w:rsidRPr="002A424C" w:rsidTr="00424003">
        <w:trPr>
          <w:trHeight w:val="535"/>
        </w:trPr>
        <w:tc>
          <w:tcPr>
            <w:tcW w:w="1469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Agir, s’exprimer, comprendre à travers les activités artistiques</w:t>
            </w:r>
          </w:p>
        </w:tc>
        <w:tc>
          <w:tcPr>
            <w:tcW w:w="3416" w:type="dxa"/>
            <w:gridSpan w:val="2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Productions plastiques et visuelles</w:t>
            </w:r>
          </w:p>
        </w:tc>
        <w:tc>
          <w:tcPr>
            <w:tcW w:w="1432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</w:tr>
      <w:tr w:rsidR="00424003" w:rsidRPr="002A424C" w:rsidTr="009025FE">
        <w:trPr>
          <w:trHeight w:val="535"/>
        </w:trPr>
        <w:tc>
          <w:tcPr>
            <w:tcW w:w="1469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Univers sonores</w:t>
            </w:r>
          </w:p>
        </w:tc>
        <w:tc>
          <w:tcPr>
            <w:tcW w:w="1432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</w:tr>
      <w:tr w:rsidR="00424003" w:rsidRPr="002A424C" w:rsidTr="009025FE">
        <w:trPr>
          <w:trHeight w:val="535"/>
        </w:trPr>
        <w:tc>
          <w:tcPr>
            <w:tcW w:w="1469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Spectacle vivant</w:t>
            </w:r>
          </w:p>
        </w:tc>
        <w:tc>
          <w:tcPr>
            <w:tcW w:w="1432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</w:tr>
      <w:tr w:rsidR="00424003" w:rsidRPr="002A424C" w:rsidTr="00424003">
        <w:trPr>
          <w:trHeight w:val="548"/>
        </w:trPr>
        <w:tc>
          <w:tcPr>
            <w:tcW w:w="1469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Construire les premiers outils pour structurer sa pensée</w:t>
            </w:r>
          </w:p>
        </w:tc>
        <w:tc>
          <w:tcPr>
            <w:tcW w:w="3416" w:type="dxa"/>
            <w:gridSpan w:val="2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Utiliser et étudier les nombres</w:t>
            </w:r>
          </w:p>
        </w:tc>
        <w:tc>
          <w:tcPr>
            <w:tcW w:w="1432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</w:tr>
      <w:tr w:rsidR="00424003" w:rsidRPr="002A424C" w:rsidTr="00D70C55">
        <w:trPr>
          <w:trHeight w:val="547"/>
        </w:trPr>
        <w:tc>
          <w:tcPr>
            <w:tcW w:w="1469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Explorer des formes, des grandeurs, des suites organisées</w:t>
            </w:r>
          </w:p>
        </w:tc>
        <w:tc>
          <w:tcPr>
            <w:tcW w:w="1432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</w:tr>
      <w:tr w:rsidR="00424003" w:rsidRPr="002A424C" w:rsidTr="00424003">
        <w:trPr>
          <w:trHeight w:val="270"/>
        </w:trPr>
        <w:tc>
          <w:tcPr>
            <w:tcW w:w="1469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Explorer le monde</w:t>
            </w:r>
          </w:p>
        </w:tc>
        <w:tc>
          <w:tcPr>
            <w:tcW w:w="3416" w:type="dxa"/>
            <w:gridSpan w:val="2"/>
          </w:tcPr>
          <w:p w:rsidR="00424003" w:rsidRPr="002A424C" w:rsidRDefault="00424003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Se repérer dans le temps et dans l’espace</w:t>
            </w:r>
          </w:p>
        </w:tc>
        <w:tc>
          <w:tcPr>
            <w:tcW w:w="1432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 w:val="restart"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</w:tr>
      <w:tr w:rsidR="00424003" w:rsidRPr="002A424C" w:rsidTr="00ED2CF1">
        <w:trPr>
          <w:trHeight w:val="270"/>
        </w:trPr>
        <w:tc>
          <w:tcPr>
            <w:tcW w:w="1469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424003" w:rsidRPr="002A424C" w:rsidRDefault="002A424C">
            <w:pPr>
              <w:rPr>
                <w:sz w:val="18"/>
                <w:szCs w:val="18"/>
              </w:rPr>
            </w:pPr>
            <w:r w:rsidRPr="002A424C">
              <w:rPr>
                <w:sz w:val="18"/>
                <w:szCs w:val="18"/>
              </w:rPr>
              <w:t>Explorer le monde du vivant, des objets et de la matière</w:t>
            </w:r>
          </w:p>
        </w:tc>
        <w:tc>
          <w:tcPr>
            <w:tcW w:w="1432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424003" w:rsidRPr="002A424C" w:rsidRDefault="00424003">
            <w:pPr>
              <w:rPr>
                <w:sz w:val="18"/>
                <w:szCs w:val="18"/>
              </w:rPr>
            </w:pPr>
          </w:p>
        </w:tc>
      </w:tr>
    </w:tbl>
    <w:p w:rsidR="00B22D4E" w:rsidRDefault="00B22D4E" w:rsidP="002A424C">
      <w:pPr>
        <w:rPr>
          <w:b/>
        </w:rPr>
      </w:pPr>
    </w:p>
    <w:p w:rsidR="002A424C" w:rsidRPr="001658EA" w:rsidRDefault="002A424C" w:rsidP="002A424C">
      <w:pPr>
        <w:rPr>
          <w:b/>
        </w:rPr>
      </w:pPr>
      <w:r>
        <w:rPr>
          <w:b/>
        </w:rPr>
        <w:lastRenderedPageBreak/>
        <w:t>Cycle 2</w:t>
      </w:r>
      <w:r w:rsidR="001658EA">
        <w:rPr>
          <w:b/>
        </w:rPr>
        <w:t xml:space="preserve">            </w:t>
      </w:r>
      <w:r>
        <w:t xml:space="preserve">Classe de   ……………………………………       </w:t>
      </w:r>
      <w:proofErr w:type="gramStart"/>
      <w:r>
        <w:t>et</w:t>
      </w:r>
      <w:proofErr w:type="gramEnd"/>
      <w:r>
        <w:t xml:space="preserve"> de …………………………………..</w:t>
      </w:r>
      <w:r w:rsidR="001658EA" w:rsidRPr="001658EA">
        <w:t xml:space="preserve"> </w:t>
      </w:r>
      <w:r w:rsidR="001658EA">
        <w:t xml:space="preserve">Niveau :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9"/>
        <w:gridCol w:w="697"/>
        <w:gridCol w:w="2862"/>
        <w:gridCol w:w="1432"/>
        <w:gridCol w:w="1543"/>
        <w:gridCol w:w="1059"/>
      </w:tblGrid>
      <w:tr w:rsidR="001658EA" w:rsidTr="00140F18">
        <w:tc>
          <w:tcPr>
            <w:tcW w:w="5028" w:type="dxa"/>
            <w:gridSpan w:val="3"/>
          </w:tcPr>
          <w:p w:rsidR="001658EA" w:rsidRDefault="001658EA" w:rsidP="0002257E">
            <w:r w:rsidRPr="0000292A">
              <w:rPr>
                <w:sz w:val="18"/>
                <w:szCs w:val="18"/>
              </w:rPr>
              <w:t>Domaines d’enseignements</w:t>
            </w:r>
          </w:p>
        </w:tc>
        <w:tc>
          <w:tcPr>
            <w:tcW w:w="1432" w:type="dxa"/>
          </w:tcPr>
          <w:p w:rsidR="001658EA" w:rsidRDefault="001658EA" w:rsidP="0002257E">
            <w:r w:rsidRPr="001658EA">
              <w:rPr>
                <w:sz w:val="16"/>
                <w:szCs w:val="16"/>
              </w:rPr>
              <w:t>Mme ou Mr</w:t>
            </w:r>
          </w:p>
        </w:tc>
        <w:tc>
          <w:tcPr>
            <w:tcW w:w="1543" w:type="dxa"/>
          </w:tcPr>
          <w:p w:rsidR="001658EA" w:rsidRPr="001658EA" w:rsidRDefault="001658EA" w:rsidP="0002257E">
            <w:pPr>
              <w:rPr>
                <w:sz w:val="16"/>
                <w:szCs w:val="16"/>
              </w:rPr>
            </w:pPr>
            <w:r w:rsidRPr="001658EA">
              <w:rPr>
                <w:sz w:val="16"/>
                <w:szCs w:val="16"/>
              </w:rPr>
              <w:t>Mme ou Mr</w:t>
            </w:r>
          </w:p>
        </w:tc>
        <w:tc>
          <w:tcPr>
            <w:tcW w:w="1059" w:type="dxa"/>
          </w:tcPr>
          <w:p w:rsidR="001658EA" w:rsidRDefault="001658EA" w:rsidP="0002257E"/>
        </w:tc>
      </w:tr>
      <w:tr w:rsidR="002A424C" w:rsidTr="001658EA">
        <w:tc>
          <w:tcPr>
            <w:tcW w:w="8003" w:type="dxa"/>
            <w:gridSpan w:val="5"/>
          </w:tcPr>
          <w:p w:rsidR="002A424C" w:rsidRDefault="002A424C" w:rsidP="0002257E">
            <w:r>
              <w:t xml:space="preserve">                                                                                                 Quotité horaire par enseignant</w:t>
            </w:r>
          </w:p>
        </w:tc>
        <w:tc>
          <w:tcPr>
            <w:tcW w:w="1059" w:type="dxa"/>
          </w:tcPr>
          <w:p w:rsidR="002A424C" w:rsidRDefault="001658EA" w:rsidP="0002257E">
            <w:proofErr w:type="spellStart"/>
            <w:r>
              <w:t>Nbre</w:t>
            </w:r>
            <w:proofErr w:type="spellEnd"/>
            <w:r>
              <w:t xml:space="preserve"> </w:t>
            </w:r>
            <w:proofErr w:type="spellStart"/>
            <w:r>
              <w:t>d’h</w:t>
            </w:r>
            <w:proofErr w:type="spellEnd"/>
          </w:p>
        </w:tc>
      </w:tr>
      <w:tr w:rsidR="0027195A" w:rsidRPr="002A424C" w:rsidTr="001658EA">
        <w:trPr>
          <w:trHeight w:val="712"/>
        </w:trPr>
        <w:tc>
          <w:tcPr>
            <w:tcW w:w="1469" w:type="dxa"/>
            <w:vMerge w:val="restart"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Français</w:t>
            </w:r>
          </w:p>
        </w:tc>
        <w:tc>
          <w:tcPr>
            <w:tcW w:w="697" w:type="dxa"/>
            <w:vMerge w:val="restart"/>
          </w:tcPr>
          <w:p w:rsidR="0027195A" w:rsidRPr="002A424C" w:rsidRDefault="001658EA" w:rsidP="00022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27195A">
              <w:rPr>
                <w:rFonts w:ascii="Arial" w:hAnsi="Arial" w:cs="Arial"/>
                <w:sz w:val="18"/>
                <w:szCs w:val="18"/>
              </w:rPr>
              <w:t>’oral</w:t>
            </w:r>
          </w:p>
        </w:tc>
        <w:tc>
          <w:tcPr>
            <w:tcW w:w="2862" w:type="dxa"/>
          </w:tcPr>
          <w:p w:rsidR="0027195A" w:rsidRPr="00366704" w:rsidRDefault="0027195A" w:rsidP="001658EA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écouter pour comprendre des messages oraux ou des textes lus par un adulte</w:t>
            </w:r>
          </w:p>
        </w:tc>
        <w:tc>
          <w:tcPr>
            <w:tcW w:w="1432" w:type="dxa"/>
            <w:vMerge w:val="restart"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56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366704" w:rsidRDefault="0027195A" w:rsidP="00366704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gramStart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dire</w:t>
            </w:r>
            <w:proofErr w:type="gramEnd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pour être entendu et compris</w:t>
            </w:r>
          </w:p>
          <w:p w:rsidR="0027195A" w:rsidRPr="00366704" w:rsidRDefault="0027195A" w:rsidP="000225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56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366704" w:rsidRDefault="0027195A" w:rsidP="00366704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gramStart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participer</w:t>
            </w:r>
            <w:proofErr w:type="gramEnd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à des échang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es</w:t>
            </w:r>
          </w:p>
          <w:p w:rsidR="0027195A" w:rsidRPr="00366704" w:rsidRDefault="0027195A" w:rsidP="00366704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gramStart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dans</w:t>
            </w:r>
            <w:proofErr w:type="gramEnd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des situations diverses</w:t>
            </w:r>
          </w:p>
          <w:p w:rsidR="0027195A" w:rsidRPr="00366704" w:rsidRDefault="0027195A" w:rsidP="000225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56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27195A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366704" w:rsidRDefault="0027195A" w:rsidP="001658EA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adopter une distance critique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par rapport au langage produit</w:t>
            </w: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57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</w:tcPr>
          <w:p w:rsidR="0027195A" w:rsidRPr="002A424C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Lire</w:t>
            </w:r>
          </w:p>
        </w:tc>
        <w:tc>
          <w:tcPr>
            <w:tcW w:w="2862" w:type="dxa"/>
          </w:tcPr>
          <w:p w:rsidR="0027195A" w:rsidRPr="00366704" w:rsidRDefault="0027195A" w:rsidP="0002257E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cstheme="minorHAnsi"/>
                <w:sz w:val="18"/>
                <w:szCs w:val="18"/>
              </w:rPr>
              <w:t>identifier des mots de manière de plus en plus aisée</w:t>
            </w: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56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366704" w:rsidRDefault="0027195A" w:rsidP="0002257E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cstheme="minorHAnsi"/>
                <w:sz w:val="18"/>
                <w:szCs w:val="18"/>
              </w:rPr>
              <w:t>comprendre un texte et contrôler sa compréhension</w:t>
            </w: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536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366704" w:rsidRDefault="0027195A" w:rsidP="001658EA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pratiquer différentes formes de lecture</w:t>
            </w: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56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27195A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366704" w:rsidRDefault="0027195A" w:rsidP="0002257E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cstheme="minorHAnsi"/>
                <w:sz w:val="18"/>
                <w:szCs w:val="18"/>
              </w:rPr>
              <w:t>lire à voix haute</w:t>
            </w: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70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</w:tcPr>
          <w:p w:rsidR="0027195A" w:rsidRPr="002A424C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Ecrire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27195A" w:rsidRPr="00366704" w:rsidRDefault="0027195A" w:rsidP="0002257E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cstheme="minorHAnsi"/>
                <w:sz w:val="18"/>
                <w:szCs w:val="18"/>
              </w:rPr>
              <w:t>copier</w:t>
            </w: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475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27195A" w:rsidRPr="00366704" w:rsidRDefault="0027195A" w:rsidP="00366704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gramStart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écrire</w:t>
            </w:r>
            <w:proofErr w:type="gramEnd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des textes en commençant à s’approprier une démarche</w:t>
            </w:r>
          </w:p>
          <w:p w:rsidR="0027195A" w:rsidRPr="00366704" w:rsidRDefault="0027195A" w:rsidP="000225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475"/>
        </w:trPr>
        <w:tc>
          <w:tcPr>
            <w:tcW w:w="1469" w:type="dxa"/>
            <w:vMerge/>
          </w:tcPr>
          <w:p w:rsidR="0027195A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27195A" w:rsidRDefault="0027195A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27195A" w:rsidRPr="00366704" w:rsidRDefault="0027195A" w:rsidP="00366704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cstheme="minorHAnsi"/>
                <w:sz w:val="18"/>
                <w:szCs w:val="18"/>
              </w:rPr>
              <w:t>réviser et améliorer l’écrit qu’on a produit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2A424C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00"/>
        </w:trPr>
        <w:tc>
          <w:tcPr>
            <w:tcW w:w="146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 w:val="restart"/>
          </w:tcPr>
          <w:p w:rsidR="0027195A" w:rsidRPr="002A424C" w:rsidRDefault="001658EA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EDL</w:t>
            </w:r>
          </w:p>
        </w:tc>
        <w:tc>
          <w:tcPr>
            <w:tcW w:w="2862" w:type="dxa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passer de l’oral à l’écrit</w:t>
            </w:r>
          </w:p>
        </w:tc>
        <w:tc>
          <w:tcPr>
            <w:tcW w:w="1432" w:type="dxa"/>
            <w:vMerge w:val="restart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00"/>
        </w:trPr>
        <w:tc>
          <w:tcPr>
            <w:tcW w:w="146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lexique</w:t>
            </w:r>
          </w:p>
        </w:tc>
        <w:tc>
          <w:tcPr>
            <w:tcW w:w="1432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00"/>
        </w:trPr>
        <w:tc>
          <w:tcPr>
            <w:tcW w:w="146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orthographe lexicale</w:t>
            </w:r>
          </w:p>
        </w:tc>
        <w:tc>
          <w:tcPr>
            <w:tcW w:w="1432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00"/>
        </w:trPr>
        <w:tc>
          <w:tcPr>
            <w:tcW w:w="146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repérer dans la phrase simple</w:t>
            </w:r>
          </w:p>
        </w:tc>
        <w:tc>
          <w:tcPr>
            <w:tcW w:w="1432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00"/>
        </w:trPr>
        <w:tc>
          <w:tcPr>
            <w:tcW w:w="146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Orthographe grammaticale</w:t>
            </w:r>
          </w:p>
        </w:tc>
        <w:tc>
          <w:tcPr>
            <w:tcW w:w="1432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375"/>
        </w:trPr>
        <w:tc>
          <w:tcPr>
            <w:tcW w:w="1469" w:type="dxa"/>
            <w:vMerge w:val="restart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Langue vivante étrangère</w:t>
            </w:r>
          </w:p>
        </w:tc>
        <w:tc>
          <w:tcPr>
            <w:tcW w:w="3559" w:type="dxa"/>
            <w:gridSpan w:val="2"/>
          </w:tcPr>
          <w:p w:rsidR="0027195A" w:rsidRPr="002A424C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Approche culturelle</w:t>
            </w:r>
          </w:p>
        </w:tc>
        <w:tc>
          <w:tcPr>
            <w:tcW w:w="1432" w:type="dxa"/>
            <w:vMerge w:val="restart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</w:tr>
      <w:tr w:rsidR="0027195A" w:rsidRPr="002A424C" w:rsidTr="001658EA">
        <w:trPr>
          <w:trHeight w:val="410"/>
        </w:trPr>
        <w:tc>
          <w:tcPr>
            <w:tcW w:w="1469" w:type="dxa"/>
            <w:vMerge/>
          </w:tcPr>
          <w:p w:rsidR="0027195A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27195A" w:rsidRPr="002A424C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Activités langagière</w:t>
            </w:r>
          </w:p>
        </w:tc>
        <w:tc>
          <w:tcPr>
            <w:tcW w:w="1432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7195A" w:rsidRPr="002A424C" w:rsidRDefault="0027195A" w:rsidP="0002257E">
            <w:pPr>
              <w:rPr>
                <w:sz w:val="18"/>
                <w:szCs w:val="18"/>
              </w:rPr>
            </w:pPr>
          </w:p>
        </w:tc>
      </w:tr>
      <w:tr w:rsidR="002A424C" w:rsidRPr="002A424C" w:rsidTr="001658EA">
        <w:trPr>
          <w:trHeight w:val="274"/>
        </w:trPr>
        <w:tc>
          <w:tcPr>
            <w:tcW w:w="1469" w:type="dxa"/>
            <w:vMerge w:val="restart"/>
          </w:tcPr>
          <w:p w:rsidR="002A424C" w:rsidRPr="002A424C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Enseignements artistiques</w:t>
            </w:r>
          </w:p>
        </w:tc>
        <w:tc>
          <w:tcPr>
            <w:tcW w:w="3559" w:type="dxa"/>
            <w:gridSpan w:val="2"/>
          </w:tcPr>
          <w:p w:rsidR="002A424C" w:rsidRPr="002A424C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Arts plastiques</w:t>
            </w:r>
          </w:p>
        </w:tc>
        <w:tc>
          <w:tcPr>
            <w:tcW w:w="1432" w:type="dxa"/>
            <w:vMerge w:val="restart"/>
          </w:tcPr>
          <w:p w:rsidR="002A424C" w:rsidRPr="002A424C" w:rsidRDefault="002A424C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2A424C" w:rsidRPr="002A424C" w:rsidRDefault="002A424C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2A424C" w:rsidRPr="002A424C" w:rsidRDefault="002A424C" w:rsidP="0002257E">
            <w:pPr>
              <w:rPr>
                <w:sz w:val="18"/>
                <w:szCs w:val="18"/>
              </w:rPr>
            </w:pPr>
          </w:p>
        </w:tc>
      </w:tr>
      <w:tr w:rsidR="002A424C" w:rsidRPr="002A424C" w:rsidTr="001658EA">
        <w:trPr>
          <w:trHeight w:val="264"/>
        </w:trPr>
        <w:tc>
          <w:tcPr>
            <w:tcW w:w="1469" w:type="dxa"/>
            <w:vMerge/>
          </w:tcPr>
          <w:p w:rsidR="002A424C" w:rsidRPr="002A424C" w:rsidRDefault="002A424C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2A424C" w:rsidRPr="002A424C" w:rsidRDefault="00D0352D" w:rsidP="00D0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musicale</w:t>
            </w:r>
          </w:p>
        </w:tc>
        <w:tc>
          <w:tcPr>
            <w:tcW w:w="1432" w:type="dxa"/>
            <w:vMerge/>
          </w:tcPr>
          <w:p w:rsidR="002A424C" w:rsidRPr="002A424C" w:rsidRDefault="002A424C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2A424C" w:rsidRPr="002A424C" w:rsidRDefault="002A424C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2A424C" w:rsidRPr="002A424C" w:rsidRDefault="002A424C" w:rsidP="0002257E">
            <w:pPr>
              <w:rPr>
                <w:sz w:val="18"/>
                <w:szCs w:val="18"/>
              </w:rPr>
            </w:pPr>
          </w:p>
        </w:tc>
      </w:tr>
      <w:tr w:rsidR="00D0352D" w:rsidRPr="002A424C" w:rsidTr="001658EA">
        <w:trPr>
          <w:trHeight w:val="135"/>
        </w:trPr>
        <w:tc>
          <w:tcPr>
            <w:tcW w:w="1469" w:type="dxa"/>
            <w:vMerge w:val="restart"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physique et sportive</w:t>
            </w:r>
          </w:p>
        </w:tc>
        <w:tc>
          <w:tcPr>
            <w:tcW w:w="3559" w:type="dxa"/>
            <w:gridSpan w:val="2"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Produire une performance</w:t>
            </w:r>
          </w:p>
        </w:tc>
        <w:tc>
          <w:tcPr>
            <w:tcW w:w="1432" w:type="dxa"/>
            <w:vMerge w:val="restart"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</w:tr>
      <w:tr w:rsidR="00D0352D" w:rsidRPr="002A424C" w:rsidTr="001658EA">
        <w:trPr>
          <w:trHeight w:val="135"/>
        </w:trPr>
        <w:tc>
          <w:tcPr>
            <w:tcW w:w="1469" w:type="dxa"/>
            <w:vMerge/>
          </w:tcPr>
          <w:p w:rsidR="00D0352D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D0352D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S’exprimer devant les autres par une prestation artistique et/ou acrobatique</w:t>
            </w:r>
          </w:p>
        </w:tc>
        <w:tc>
          <w:tcPr>
            <w:tcW w:w="1432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</w:tr>
      <w:tr w:rsidR="00D0352D" w:rsidRPr="002A424C" w:rsidTr="001658EA">
        <w:trPr>
          <w:trHeight w:val="218"/>
        </w:trPr>
        <w:tc>
          <w:tcPr>
            <w:tcW w:w="1469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Adapter ses déplacements à des environnements variés</w:t>
            </w:r>
          </w:p>
        </w:tc>
        <w:tc>
          <w:tcPr>
            <w:tcW w:w="1432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</w:tr>
      <w:tr w:rsidR="00D0352D" w:rsidRPr="002A424C" w:rsidTr="001658EA">
        <w:trPr>
          <w:trHeight w:val="217"/>
        </w:trPr>
        <w:tc>
          <w:tcPr>
            <w:tcW w:w="1469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D0352D" w:rsidRDefault="00D0352D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Conduire et maîtriser un affrontement collectif ou interindividuel</w:t>
            </w:r>
          </w:p>
        </w:tc>
        <w:tc>
          <w:tcPr>
            <w:tcW w:w="1432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D0352D" w:rsidRPr="002A424C" w:rsidRDefault="00D0352D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220"/>
        </w:trPr>
        <w:tc>
          <w:tcPr>
            <w:tcW w:w="1469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morale et civique</w:t>
            </w: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autrui</w:t>
            </w:r>
          </w:p>
        </w:tc>
        <w:tc>
          <w:tcPr>
            <w:tcW w:w="1432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220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Acquérir et partager les valeurs de la république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220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une culture civique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113"/>
        </w:trPr>
        <w:tc>
          <w:tcPr>
            <w:tcW w:w="1469" w:type="dxa"/>
            <w:vMerge w:val="restart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Questionner le monde</w:t>
            </w: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situer dans l’espace</w:t>
            </w:r>
          </w:p>
        </w:tc>
        <w:tc>
          <w:tcPr>
            <w:tcW w:w="1432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75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monde du vivant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75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monde des objets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75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matière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145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situer dans le temps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145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Explorer les organisations du monde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75"/>
        </w:trPr>
        <w:tc>
          <w:tcPr>
            <w:tcW w:w="1469" w:type="dxa"/>
            <w:vMerge w:val="restart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Mathématiques</w:t>
            </w: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Nombres et calcul</w:t>
            </w:r>
          </w:p>
        </w:tc>
        <w:tc>
          <w:tcPr>
            <w:tcW w:w="1432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75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Grandeurs et mesure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  <w:tr w:rsidR="00463E83" w:rsidRPr="002A424C" w:rsidTr="001658EA">
        <w:trPr>
          <w:trHeight w:val="75"/>
        </w:trPr>
        <w:tc>
          <w:tcPr>
            <w:tcW w:w="1469" w:type="dxa"/>
            <w:vMerge/>
          </w:tcPr>
          <w:p w:rsidR="00463E83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</w:tcPr>
          <w:p w:rsidR="00463E83" w:rsidRDefault="00463E83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Espace et géométrie</w:t>
            </w:r>
          </w:p>
        </w:tc>
        <w:tc>
          <w:tcPr>
            <w:tcW w:w="1432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463E83" w:rsidRPr="002A424C" w:rsidRDefault="00463E83" w:rsidP="0002257E">
            <w:pPr>
              <w:rPr>
                <w:sz w:val="18"/>
                <w:szCs w:val="18"/>
              </w:rPr>
            </w:pPr>
          </w:p>
        </w:tc>
      </w:tr>
    </w:tbl>
    <w:p w:rsidR="008E769D" w:rsidRDefault="008E769D" w:rsidP="00A90505">
      <w:pPr>
        <w:rPr>
          <w:b/>
        </w:rPr>
      </w:pPr>
    </w:p>
    <w:p w:rsidR="008E769D" w:rsidRDefault="008E769D">
      <w:pPr>
        <w:rPr>
          <w:b/>
        </w:rPr>
      </w:pPr>
    </w:p>
    <w:p w:rsidR="00A90505" w:rsidRPr="001658EA" w:rsidRDefault="00A90505" w:rsidP="00A90505">
      <w:pPr>
        <w:rPr>
          <w:b/>
        </w:rPr>
      </w:pPr>
      <w:r>
        <w:rPr>
          <w:b/>
        </w:rPr>
        <w:t xml:space="preserve">Cycle 3            </w:t>
      </w:r>
      <w:r>
        <w:t xml:space="preserve">Classe de   ……………………………………       </w:t>
      </w:r>
      <w:proofErr w:type="gramStart"/>
      <w:r>
        <w:t>et</w:t>
      </w:r>
      <w:proofErr w:type="gramEnd"/>
      <w:r>
        <w:t xml:space="preserve"> de …………………………………..</w:t>
      </w:r>
      <w:r w:rsidRPr="001658EA">
        <w:t xml:space="preserve"> </w:t>
      </w:r>
      <w:r>
        <w:t xml:space="preserve">Niveau :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918"/>
        <w:gridCol w:w="2776"/>
        <w:gridCol w:w="1382"/>
        <w:gridCol w:w="1487"/>
        <w:gridCol w:w="1036"/>
      </w:tblGrid>
      <w:tr w:rsidR="00A90505" w:rsidTr="00F85CF6">
        <w:tc>
          <w:tcPr>
            <w:tcW w:w="5157" w:type="dxa"/>
            <w:gridSpan w:val="3"/>
          </w:tcPr>
          <w:p w:rsidR="00A90505" w:rsidRDefault="00A90505" w:rsidP="0002257E">
            <w:r w:rsidRPr="0000292A">
              <w:rPr>
                <w:sz w:val="18"/>
                <w:szCs w:val="18"/>
              </w:rPr>
              <w:t>Domaines d’enseignements</w:t>
            </w:r>
          </w:p>
        </w:tc>
        <w:tc>
          <w:tcPr>
            <w:tcW w:w="1382" w:type="dxa"/>
          </w:tcPr>
          <w:p w:rsidR="00A90505" w:rsidRDefault="00A90505" w:rsidP="0002257E">
            <w:r w:rsidRPr="001658EA">
              <w:rPr>
                <w:sz w:val="16"/>
                <w:szCs w:val="16"/>
              </w:rPr>
              <w:t>Mme ou Mr</w:t>
            </w:r>
          </w:p>
        </w:tc>
        <w:tc>
          <w:tcPr>
            <w:tcW w:w="1487" w:type="dxa"/>
          </w:tcPr>
          <w:p w:rsidR="00A90505" w:rsidRPr="001658EA" w:rsidRDefault="00A90505" w:rsidP="0002257E">
            <w:pPr>
              <w:rPr>
                <w:sz w:val="16"/>
                <w:szCs w:val="16"/>
              </w:rPr>
            </w:pPr>
            <w:r w:rsidRPr="001658EA">
              <w:rPr>
                <w:sz w:val="16"/>
                <w:szCs w:val="16"/>
              </w:rPr>
              <w:t>Mme ou Mr</w:t>
            </w:r>
          </w:p>
        </w:tc>
        <w:tc>
          <w:tcPr>
            <w:tcW w:w="1036" w:type="dxa"/>
          </w:tcPr>
          <w:p w:rsidR="00A90505" w:rsidRDefault="00A90505" w:rsidP="0002257E"/>
        </w:tc>
      </w:tr>
      <w:tr w:rsidR="00A90505" w:rsidTr="00F85CF6">
        <w:tc>
          <w:tcPr>
            <w:tcW w:w="8026" w:type="dxa"/>
            <w:gridSpan w:val="5"/>
          </w:tcPr>
          <w:p w:rsidR="00A90505" w:rsidRDefault="00A90505" w:rsidP="0002257E">
            <w:r>
              <w:t xml:space="preserve">                                                                                                 Quotité horaire par enseignant</w:t>
            </w:r>
          </w:p>
        </w:tc>
        <w:tc>
          <w:tcPr>
            <w:tcW w:w="1036" w:type="dxa"/>
          </w:tcPr>
          <w:p w:rsidR="00A90505" w:rsidRDefault="00A90505" w:rsidP="0002257E">
            <w:proofErr w:type="spellStart"/>
            <w:r>
              <w:t>Nbre</w:t>
            </w:r>
            <w:proofErr w:type="spellEnd"/>
            <w:r>
              <w:t xml:space="preserve"> </w:t>
            </w:r>
            <w:proofErr w:type="spellStart"/>
            <w:r>
              <w:t>d’h</w:t>
            </w:r>
            <w:proofErr w:type="spellEnd"/>
          </w:p>
        </w:tc>
      </w:tr>
      <w:tr w:rsidR="002119C1" w:rsidRPr="002A424C" w:rsidTr="00F85CF6">
        <w:trPr>
          <w:trHeight w:val="553"/>
        </w:trPr>
        <w:tc>
          <w:tcPr>
            <w:tcW w:w="1463" w:type="dxa"/>
            <w:vMerge w:val="restart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Français</w:t>
            </w:r>
          </w:p>
        </w:tc>
        <w:tc>
          <w:tcPr>
            <w:tcW w:w="918" w:type="dxa"/>
            <w:vMerge w:val="restart"/>
          </w:tcPr>
          <w:p w:rsidR="002119C1" w:rsidRPr="002A424C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L’’oral</w:t>
            </w:r>
          </w:p>
        </w:tc>
        <w:tc>
          <w:tcPr>
            <w:tcW w:w="2776" w:type="dxa"/>
          </w:tcPr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écouter pour comprendre des messages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oraux </w:t>
            </w:r>
          </w:p>
        </w:tc>
        <w:tc>
          <w:tcPr>
            <w:tcW w:w="1382" w:type="dxa"/>
            <w:vMerge w:val="restart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56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366704" w:rsidRDefault="002119C1" w:rsidP="0002257E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Parler en prenant en compte son auditoire</w:t>
            </w:r>
          </w:p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56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366704" w:rsidRDefault="002119C1" w:rsidP="0002257E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gramStart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participer</w:t>
            </w:r>
            <w:proofErr w:type="gramEnd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à des échang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es</w:t>
            </w:r>
          </w:p>
          <w:p w:rsidR="002119C1" w:rsidRPr="00366704" w:rsidRDefault="002119C1" w:rsidP="0002257E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proofErr w:type="gramStart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>dans</w:t>
            </w:r>
            <w:proofErr w:type="gramEnd"/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des situations diverses</w:t>
            </w:r>
          </w:p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56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366704" w:rsidRDefault="002119C1" w:rsidP="002119C1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adopter une 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attitude critique par rapport à son propos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57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2119C1" w:rsidRPr="002A424C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Lire</w:t>
            </w:r>
          </w:p>
        </w:tc>
        <w:tc>
          <w:tcPr>
            <w:tcW w:w="2776" w:type="dxa"/>
          </w:tcPr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Lire avec fluidité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56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366704" w:rsidRDefault="002119C1" w:rsidP="002119C1">
            <w:pPr>
              <w:rPr>
                <w:rFonts w:cstheme="minorHAnsi"/>
                <w:sz w:val="18"/>
                <w:szCs w:val="18"/>
              </w:rPr>
            </w:pPr>
            <w:r w:rsidRPr="00366704">
              <w:rPr>
                <w:rFonts w:cstheme="minorHAnsi"/>
                <w:sz w:val="18"/>
                <w:szCs w:val="18"/>
              </w:rPr>
              <w:t xml:space="preserve">comprendre un texte </w:t>
            </w:r>
            <w:r>
              <w:rPr>
                <w:rFonts w:cstheme="minorHAnsi"/>
                <w:sz w:val="18"/>
                <w:szCs w:val="18"/>
              </w:rPr>
              <w:t>littéraire et se l’approprier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536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Comprendre des textes des documents des images, et les interpréter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56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Contrôler sa compréhension et devenir un lecteur autonome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70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2119C1" w:rsidRPr="002A424C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Ecrire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Ecrire à la main de manière fluide et efficace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475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2119C1" w:rsidRPr="00366704" w:rsidRDefault="002119C1" w:rsidP="0002257E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Maîtriser les bases de l’écriture au clavier</w:t>
            </w:r>
          </w:p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240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2119C1" w:rsidRPr="00366704" w:rsidRDefault="002119C1" w:rsidP="000225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Recourir à l’écriture pour réfléchir et pour apprendre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80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2119C1" w:rsidRDefault="002119C1" w:rsidP="000225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Rédiger des textes variés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80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2119C1" w:rsidRDefault="002119C1" w:rsidP="000225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Réécrire à partir de nouvelles consignes ou faire évoluer son texte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80"/>
        </w:trPr>
        <w:tc>
          <w:tcPr>
            <w:tcW w:w="1463" w:type="dxa"/>
            <w:vMerge/>
          </w:tcPr>
          <w:p w:rsidR="002119C1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2119C1" w:rsidRDefault="002119C1" w:rsidP="00022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:rsidR="002119C1" w:rsidRDefault="002119C1" w:rsidP="0002257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Prendre en compte les normes de l’écrit</w:t>
            </w: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00"/>
        </w:trPr>
        <w:tc>
          <w:tcPr>
            <w:tcW w:w="1463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EDL</w:t>
            </w:r>
          </w:p>
        </w:tc>
        <w:tc>
          <w:tcPr>
            <w:tcW w:w="2776" w:type="dxa"/>
          </w:tcPr>
          <w:p w:rsidR="002119C1" w:rsidRPr="002A424C" w:rsidRDefault="002119C1" w:rsidP="0021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Maîtriser les relations entre l’oral à l’écrit</w:t>
            </w:r>
          </w:p>
        </w:tc>
        <w:tc>
          <w:tcPr>
            <w:tcW w:w="1382" w:type="dxa"/>
            <w:vMerge w:val="restart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00"/>
        </w:trPr>
        <w:tc>
          <w:tcPr>
            <w:tcW w:w="1463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lexique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00"/>
        </w:trPr>
        <w:tc>
          <w:tcPr>
            <w:tcW w:w="1463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orthographe lexicale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00"/>
        </w:trPr>
        <w:tc>
          <w:tcPr>
            <w:tcW w:w="1463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2A424C" w:rsidRDefault="002119C1" w:rsidP="0021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les constituants d’une phrase simple, se repérer dans la phrase complexe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2119C1" w:rsidRPr="002A424C" w:rsidTr="00F85CF6">
        <w:trPr>
          <w:trHeight w:val="300"/>
        </w:trPr>
        <w:tc>
          <w:tcPr>
            <w:tcW w:w="1463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Orthographe grammaticale</w:t>
            </w:r>
          </w:p>
        </w:tc>
        <w:tc>
          <w:tcPr>
            <w:tcW w:w="1382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2119C1" w:rsidRPr="002A424C" w:rsidRDefault="002119C1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150"/>
        </w:trPr>
        <w:tc>
          <w:tcPr>
            <w:tcW w:w="1463" w:type="dxa"/>
            <w:vMerge w:val="restart"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littéraire et artistique</w:t>
            </w:r>
          </w:p>
        </w:tc>
        <w:tc>
          <w:tcPr>
            <w:tcW w:w="2776" w:type="dxa"/>
          </w:tcPr>
          <w:p w:rsidR="00F85CF6" w:rsidRDefault="00F85CF6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Héros/héroïnes</w:t>
            </w:r>
          </w:p>
        </w:tc>
        <w:tc>
          <w:tcPr>
            <w:tcW w:w="1382" w:type="dxa"/>
            <w:vMerge w:val="restart"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147"/>
        </w:trPr>
        <w:tc>
          <w:tcPr>
            <w:tcW w:w="1463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85CF6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F85CF6" w:rsidRDefault="00F85CF6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morale en questions</w:t>
            </w:r>
          </w:p>
        </w:tc>
        <w:tc>
          <w:tcPr>
            <w:tcW w:w="1382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147"/>
        </w:trPr>
        <w:tc>
          <w:tcPr>
            <w:tcW w:w="1463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85CF6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F85CF6" w:rsidRDefault="00F85CF6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confronter au merveilleux, à l’étrange</w:t>
            </w:r>
          </w:p>
        </w:tc>
        <w:tc>
          <w:tcPr>
            <w:tcW w:w="1382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147"/>
        </w:trPr>
        <w:tc>
          <w:tcPr>
            <w:tcW w:w="1463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85CF6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F85CF6" w:rsidRDefault="00F85CF6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Vivre des aventures</w:t>
            </w:r>
          </w:p>
        </w:tc>
        <w:tc>
          <w:tcPr>
            <w:tcW w:w="1382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147"/>
        </w:trPr>
        <w:tc>
          <w:tcPr>
            <w:tcW w:w="1463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85CF6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F85CF6" w:rsidRDefault="00F85CF6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Imaginer, dire et célébrer le monde</w:t>
            </w:r>
          </w:p>
        </w:tc>
        <w:tc>
          <w:tcPr>
            <w:tcW w:w="1382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147"/>
        </w:trPr>
        <w:tc>
          <w:tcPr>
            <w:tcW w:w="1463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85CF6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2776" w:type="dxa"/>
          </w:tcPr>
          <w:p w:rsidR="00F85CF6" w:rsidRDefault="00F85CF6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découvrir, s’affirmer dans le rapport aux autres</w:t>
            </w:r>
          </w:p>
        </w:tc>
        <w:tc>
          <w:tcPr>
            <w:tcW w:w="1382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375"/>
        </w:trPr>
        <w:tc>
          <w:tcPr>
            <w:tcW w:w="1463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Langue vivante étrangère</w:t>
            </w:r>
          </w:p>
        </w:tc>
        <w:tc>
          <w:tcPr>
            <w:tcW w:w="3694" w:type="dxa"/>
            <w:gridSpan w:val="2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85CF6">
              <w:rPr>
                <w:sz w:val="18"/>
                <w:szCs w:val="18"/>
              </w:rPr>
              <w:t>ctivités</w:t>
            </w:r>
            <w:r>
              <w:rPr>
                <w:sz w:val="18"/>
                <w:szCs w:val="18"/>
              </w:rPr>
              <w:t xml:space="preserve"> culturelle</w:t>
            </w:r>
            <w:r w:rsidR="00F85CF6">
              <w:rPr>
                <w:sz w:val="18"/>
                <w:szCs w:val="18"/>
              </w:rPr>
              <w:t>s et linguistiques</w:t>
            </w:r>
          </w:p>
        </w:tc>
        <w:tc>
          <w:tcPr>
            <w:tcW w:w="1382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410"/>
        </w:trPr>
        <w:tc>
          <w:tcPr>
            <w:tcW w:w="1463" w:type="dxa"/>
            <w:vMerge/>
          </w:tcPr>
          <w:p w:rsidR="00A90505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Activités langagière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274"/>
        </w:trPr>
        <w:tc>
          <w:tcPr>
            <w:tcW w:w="1463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Enseignements artistiques</w:t>
            </w:r>
          </w:p>
        </w:tc>
        <w:tc>
          <w:tcPr>
            <w:tcW w:w="3694" w:type="dxa"/>
            <w:gridSpan w:val="2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Arts plastiques</w:t>
            </w:r>
          </w:p>
        </w:tc>
        <w:tc>
          <w:tcPr>
            <w:tcW w:w="1382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264"/>
        </w:trPr>
        <w:tc>
          <w:tcPr>
            <w:tcW w:w="1463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musicale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264"/>
        </w:trPr>
        <w:tc>
          <w:tcPr>
            <w:tcW w:w="1463" w:type="dxa"/>
          </w:tcPr>
          <w:p w:rsidR="00F85CF6" w:rsidRPr="002A424C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Histoire des arts</w:t>
            </w:r>
          </w:p>
        </w:tc>
        <w:tc>
          <w:tcPr>
            <w:tcW w:w="3694" w:type="dxa"/>
            <w:gridSpan w:val="2"/>
          </w:tcPr>
          <w:p w:rsidR="00F85CF6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85CF6" w:rsidRPr="002A424C" w:rsidRDefault="00F85CF6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135"/>
        </w:trPr>
        <w:tc>
          <w:tcPr>
            <w:tcW w:w="1463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physique et sportive</w:t>
            </w:r>
          </w:p>
        </w:tc>
        <w:tc>
          <w:tcPr>
            <w:tcW w:w="3694" w:type="dxa"/>
            <w:gridSpan w:val="2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Produire une performance</w:t>
            </w:r>
          </w:p>
        </w:tc>
        <w:tc>
          <w:tcPr>
            <w:tcW w:w="1382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135"/>
        </w:trPr>
        <w:tc>
          <w:tcPr>
            <w:tcW w:w="1463" w:type="dxa"/>
            <w:vMerge/>
          </w:tcPr>
          <w:p w:rsidR="00A90505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S’exprimer devant les autres par une prestation artistique et/ou acrobatique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218"/>
        </w:trPr>
        <w:tc>
          <w:tcPr>
            <w:tcW w:w="1463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Adapter ses déplacements à des environnements variés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217"/>
        </w:trPr>
        <w:tc>
          <w:tcPr>
            <w:tcW w:w="1463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Conduire et maîtriser un affrontement collectif ou interindividuel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220"/>
        </w:trPr>
        <w:tc>
          <w:tcPr>
            <w:tcW w:w="1463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morale et civique</w:t>
            </w:r>
          </w:p>
        </w:tc>
        <w:tc>
          <w:tcPr>
            <w:tcW w:w="3694" w:type="dxa"/>
            <w:gridSpan w:val="2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autrui</w:t>
            </w:r>
          </w:p>
        </w:tc>
        <w:tc>
          <w:tcPr>
            <w:tcW w:w="1382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220"/>
        </w:trPr>
        <w:tc>
          <w:tcPr>
            <w:tcW w:w="1463" w:type="dxa"/>
            <w:vMerge/>
          </w:tcPr>
          <w:p w:rsidR="00A90505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Acquérir et partager les valeurs de la république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220"/>
        </w:trPr>
        <w:tc>
          <w:tcPr>
            <w:tcW w:w="1463" w:type="dxa"/>
            <w:vMerge/>
          </w:tcPr>
          <w:p w:rsidR="00A90505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une culture civique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8947C8" w:rsidRPr="002A424C" w:rsidTr="008947C8">
        <w:trPr>
          <w:trHeight w:val="338"/>
        </w:trPr>
        <w:tc>
          <w:tcPr>
            <w:tcW w:w="1463" w:type="dxa"/>
            <w:vMerge w:val="restart"/>
          </w:tcPr>
          <w:p w:rsidR="008947C8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Histoire et géographie</w:t>
            </w:r>
          </w:p>
        </w:tc>
        <w:tc>
          <w:tcPr>
            <w:tcW w:w="3694" w:type="dxa"/>
            <w:gridSpan w:val="2"/>
          </w:tcPr>
          <w:p w:rsidR="008947C8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histoire</w:t>
            </w:r>
          </w:p>
        </w:tc>
        <w:tc>
          <w:tcPr>
            <w:tcW w:w="1382" w:type="dxa"/>
            <w:vMerge w:val="restart"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</w:tr>
      <w:tr w:rsidR="008947C8" w:rsidRPr="002A424C" w:rsidTr="00FE409F">
        <w:trPr>
          <w:trHeight w:val="337"/>
        </w:trPr>
        <w:tc>
          <w:tcPr>
            <w:tcW w:w="1463" w:type="dxa"/>
            <w:vMerge/>
          </w:tcPr>
          <w:p w:rsidR="008947C8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8947C8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géographie</w:t>
            </w:r>
          </w:p>
        </w:tc>
        <w:tc>
          <w:tcPr>
            <w:tcW w:w="1382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</w:tr>
      <w:tr w:rsidR="008947C8" w:rsidRPr="002A424C" w:rsidTr="008947C8">
        <w:trPr>
          <w:trHeight w:val="171"/>
        </w:trPr>
        <w:tc>
          <w:tcPr>
            <w:tcW w:w="1463" w:type="dxa"/>
            <w:vMerge w:val="restart"/>
          </w:tcPr>
          <w:p w:rsidR="008947C8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Sciences et technologie</w:t>
            </w:r>
          </w:p>
        </w:tc>
        <w:tc>
          <w:tcPr>
            <w:tcW w:w="3694" w:type="dxa"/>
            <w:gridSpan w:val="2"/>
          </w:tcPr>
          <w:p w:rsidR="008947C8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Matière, mouvement, énergie, information</w:t>
            </w:r>
          </w:p>
        </w:tc>
        <w:tc>
          <w:tcPr>
            <w:tcW w:w="1382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</w:tr>
      <w:tr w:rsidR="008947C8" w:rsidRPr="002A424C" w:rsidTr="000F1477">
        <w:trPr>
          <w:trHeight w:val="168"/>
        </w:trPr>
        <w:tc>
          <w:tcPr>
            <w:tcW w:w="1463" w:type="dxa"/>
            <w:vMerge/>
          </w:tcPr>
          <w:p w:rsidR="008947C8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8947C8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vivant</w:t>
            </w:r>
          </w:p>
        </w:tc>
        <w:tc>
          <w:tcPr>
            <w:tcW w:w="1382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</w:tr>
      <w:tr w:rsidR="008947C8" w:rsidRPr="002A424C" w:rsidTr="000F1477">
        <w:trPr>
          <w:trHeight w:val="168"/>
        </w:trPr>
        <w:tc>
          <w:tcPr>
            <w:tcW w:w="1463" w:type="dxa"/>
            <w:vMerge/>
          </w:tcPr>
          <w:p w:rsidR="008947C8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8947C8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Matériaux et objets techniques</w:t>
            </w:r>
          </w:p>
        </w:tc>
        <w:tc>
          <w:tcPr>
            <w:tcW w:w="1382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</w:tr>
      <w:tr w:rsidR="008947C8" w:rsidRPr="002A424C" w:rsidTr="000F1477">
        <w:trPr>
          <w:trHeight w:val="168"/>
        </w:trPr>
        <w:tc>
          <w:tcPr>
            <w:tcW w:w="1463" w:type="dxa"/>
            <w:vMerge/>
          </w:tcPr>
          <w:p w:rsidR="008947C8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8947C8" w:rsidRDefault="008947C8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planète Terre. Les êtres vivants dans leur environnement</w:t>
            </w:r>
          </w:p>
        </w:tc>
        <w:tc>
          <w:tcPr>
            <w:tcW w:w="1382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8947C8" w:rsidRPr="002A424C" w:rsidRDefault="008947C8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75"/>
        </w:trPr>
        <w:tc>
          <w:tcPr>
            <w:tcW w:w="1463" w:type="dxa"/>
            <w:vMerge w:val="restart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Mathématiques</w:t>
            </w:r>
          </w:p>
        </w:tc>
        <w:tc>
          <w:tcPr>
            <w:tcW w:w="3694" w:type="dxa"/>
            <w:gridSpan w:val="2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Nombres et calcul</w:t>
            </w:r>
          </w:p>
        </w:tc>
        <w:tc>
          <w:tcPr>
            <w:tcW w:w="1382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75"/>
        </w:trPr>
        <w:tc>
          <w:tcPr>
            <w:tcW w:w="1463" w:type="dxa"/>
            <w:vMerge/>
          </w:tcPr>
          <w:p w:rsidR="00A90505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Grandeurs et mesure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  <w:tr w:rsidR="00F85CF6" w:rsidRPr="002A424C" w:rsidTr="00F85CF6">
        <w:trPr>
          <w:trHeight w:val="75"/>
        </w:trPr>
        <w:tc>
          <w:tcPr>
            <w:tcW w:w="1463" w:type="dxa"/>
            <w:vMerge/>
          </w:tcPr>
          <w:p w:rsidR="00A90505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2"/>
          </w:tcPr>
          <w:p w:rsidR="00A90505" w:rsidRDefault="00A90505" w:rsidP="0002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Espace et géométrie</w:t>
            </w:r>
          </w:p>
        </w:tc>
        <w:tc>
          <w:tcPr>
            <w:tcW w:w="1382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A90505" w:rsidRPr="002A424C" w:rsidRDefault="00A90505" w:rsidP="0002257E">
            <w:pPr>
              <w:rPr>
                <w:sz w:val="18"/>
                <w:szCs w:val="18"/>
              </w:rPr>
            </w:pPr>
          </w:p>
        </w:tc>
      </w:tr>
    </w:tbl>
    <w:p w:rsidR="002A424C" w:rsidRDefault="002A424C" w:rsidP="002A424C">
      <w:pPr>
        <w:rPr>
          <w:sz w:val="18"/>
          <w:szCs w:val="18"/>
        </w:rPr>
      </w:pPr>
    </w:p>
    <w:p w:rsidR="002A424C" w:rsidRPr="002A424C" w:rsidRDefault="002A424C" w:rsidP="002A424C">
      <w:pPr>
        <w:rPr>
          <w:sz w:val="18"/>
          <w:szCs w:val="18"/>
        </w:rPr>
      </w:pPr>
    </w:p>
    <w:sectPr w:rsidR="002A424C" w:rsidRPr="002A424C" w:rsidSect="008E769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D99"/>
    <w:multiLevelType w:val="hybridMultilevel"/>
    <w:tmpl w:val="D6284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24D27"/>
    <w:multiLevelType w:val="hybridMultilevel"/>
    <w:tmpl w:val="DB444C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58"/>
    <w:rsid w:val="0000292A"/>
    <w:rsid w:val="00115989"/>
    <w:rsid w:val="001658EA"/>
    <w:rsid w:val="002119C1"/>
    <w:rsid w:val="0027195A"/>
    <w:rsid w:val="00276512"/>
    <w:rsid w:val="002A424C"/>
    <w:rsid w:val="002A4C24"/>
    <w:rsid w:val="002F232F"/>
    <w:rsid w:val="00366704"/>
    <w:rsid w:val="003E6858"/>
    <w:rsid w:val="00424003"/>
    <w:rsid w:val="00463E83"/>
    <w:rsid w:val="00474507"/>
    <w:rsid w:val="004B4706"/>
    <w:rsid w:val="007A6191"/>
    <w:rsid w:val="008947C8"/>
    <w:rsid w:val="008E769D"/>
    <w:rsid w:val="00A90505"/>
    <w:rsid w:val="00B22D4E"/>
    <w:rsid w:val="00B768E9"/>
    <w:rsid w:val="00BF7D06"/>
    <w:rsid w:val="00C06A05"/>
    <w:rsid w:val="00D0352D"/>
    <w:rsid w:val="00D43BDF"/>
    <w:rsid w:val="00D74C4D"/>
    <w:rsid w:val="00F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C66"/>
  <w15:chartTrackingRefBased/>
  <w15:docId w15:val="{8D6E31C9-966C-49D0-A3D3-68D51E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2019-08-26T11:44:00Z</dcterms:created>
  <dcterms:modified xsi:type="dcterms:W3CDTF">2019-08-26T11:44:00Z</dcterms:modified>
</cp:coreProperties>
</file>